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75B45" w14:textId="77777777" w:rsidR="00CD6398" w:rsidRPr="009170A1" w:rsidRDefault="00CD6398" w:rsidP="00CD6398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lang w:bidi="ar-IQ"/>
        </w:rPr>
      </w:pPr>
      <w:r w:rsidRPr="009170A1">
        <w:rPr>
          <w:rFonts w:ascii="Simplified Arabic" w:hAnsi="Simplified Arabic" w:cs="Simplified Arabic" w:hint="cs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CD6398" w:rsidRPr="002046FD" w14:paraId="761CD153" w14:textId="77777777" w:rsidTr="0019166C">
        <w:trPr>
          <w:jc w:val="center"/>
        </w:trPr>
        <w:tc>
          <w:tcPr>
            <w:tcW w:w="10491" w:type="dxa"/>
          </w:tcPr>
          <w:p w14:paraId="2235697E" w14:textId="77777777" w:rsidR="00CD6398" w:rsidRPr="002046FD" w:rsidRDefault="00CD6398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4A975317" w14:textId="77777777" w:rsidR="00CD6398" w:rsidRPr="002046FD" w:rsidRDefault="00CD6398" w:rsidP="00CD6398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758"/>
        <w:gridCol w:w="4024"/>
        <w:gridCol w:w="709"/>
      </w:tblGrid>
      <w:tr w:rsidR="00CD6398" w:rsidRPr="009170A1" w14:paraId="47DC81D8" w14:textId="77777777" w:rsidTr="0019166C">
        <w:trPr>
          <w:jc w:val="center"/>
        </w:trPr>
        <w:tc>
          <w:tcPr>
            <w:tcW w:w="5758" w:type="dxa"/>
          </w:tcPr>
          <w:p w14:paraId="2A5B6F99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الجامعة التقنية الشمالية/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الكلية التقنية الادارية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0D51D0C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المؤسسة التعليمية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AC80E61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CD6398" w:rsidRPr="009170A1" w14:paraId="141261F1" w14:textId="77777777" w:rsidTr="0019166C">
        <w:trPr>
          <w:jc w:val="center"/>
        </w:trPr>
        <w:tc>
          <w:tcPr>
            <w:tcW w:w="5758" w:type="dxa"/>
          </w:tcPr>
          <w:p w14:paraId="716E16CE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تقنيات محاسبة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76DC6C9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96FE0DD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CD6398" w:rsidRPr="009170A1" w14:paraId="5D11563C" w14:textId="77777777" w:rsidTr="0019166C">
        <w:trPr>
          <w:jc w:val="center"/>
        </w:trPr>
        <w:tc>
          <w:tcPr>
            <w:tcW w:w="5758" w:type="dxa"/>
            <w:vAlign w:val="center"/>
          </w:tcPr>
          <w:p w14:paraId="2044245B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محاسبة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متوسطة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AT221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71338DAC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رمز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1CEFEC9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CD6398" w:rsidRPr="009170A1" w14:paraId="093C7F4F" w14:textId="77777777" w:rsidTr="0019166C">
        <w:trPr>
          <w:jc w:val="center"/>
        </w:trPr>
        <w:tc>
          <w:tcPr>
            <w:tcW w:w="5758" w:type="dxa"/>
          </w:tcPr>
          <w:p w14:paraId="7D26273E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إلزامي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3BBC617F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أشكال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الحضور المتاحة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4F5153C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CD6398" w:rsidRPr="009170A1" w14:paraId="7B0D005A" w14:textId="77777777" w:rsidTr="0019166C">
        <w:trPr>
          <w:jc w:val="center"/>
        </w:trPr>
        <w:tc>
          <w:tcPr>
            <w:tcW w:w="5758" w:type="dxa"/>
          </w:tcPr>
          <w:p w14:paraId="70ECAB60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الثانية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42776C20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A7BD0FA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CD6398" w:rsidRPr="009170A1" w14:paraId="6E7E9F0D" w14:textId="77777777" w:rsidTr="0019166C">
        <w:trPr>
          <w:jc w:val="center"/>
        </w:trPr>
        <w:tc>
          <w:tcPr>
            <w:tcW w:w="5758" w:type="dxa"/>
            <w:vAlign w:val="center"/>
          </w:tcPr>
          <w:p w14:paraId="3CD36E83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(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1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5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0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 ساعة سنوياً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6436E23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عدد الساعات الدراسية ( الكلي)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3E4E053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CD6398" w:rsidRPr="009170A1" w14:paraId="13277532" w14:textId="77777777" w:rsidTr="0019166C">
        <w:trPr>
          <w:jc w:val="center"/>
        </w:trPr>
        <w:tc>
          <w:tcPr>
            <w:tcW w:w="5758" w:type="dxa"/>
          </w:tcPr>
          <w:p w14:paraId="0AA899D5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1/9/202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01222745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تأريخ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إعداد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الوصف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6493FF6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CD6398" w:rsidRPr="009170A1" w14:paraId="7BBB559C" w14:textId="77777777" w:rsidTr="0019166C">
        <w:trPr>
          <w:jc w:val="center"/>
        </w:trPr>
        <w:tc>
          <w:tcPr>
            <w:tcW w:w="5758" w:type="dxa"/>
            <w:vAlign w:val="center"/>
          </w:tcPr>
          <w:p w14:paraId="6BC7C050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وتهدف إلى تعميق فهم الطالب عمليا ونظريا بالمعايير المحاسبية المتعارف عليها لعناصر الالتزامات وحقوق الملكية في كل من شركات الأموال وشركات الأشخاص.</w:t>
            </w:r>
          </w:p>
        </w:tc>
        <w:tc>
          <w:tcPr>
            <w:tcW w:w="4024" w:type="dxa"/>
            <w:shd w:val="clear" w:color="auto" w:fill="D9E2F3" w:themeFill="accent1" w:themeFillTint="33"/>
            <w:vAlign w:val="center"/>
          </w:tcPr>
          <w:p w14:paraId="6929A7A5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E1160CB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CD6398" w:rsidRPr="009170A1" w14:paraId="3AEBD960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5CD04A44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DBDF1A3" w14:textId="77777777" w:rsidR="00CD6398" w:rsidRPr="009170A1" w:rsidRDefault="00CD639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CD6398" w:rsidRPr="009170A1" w14:paraId="4685C01A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04FF0594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CD6398" w:rsidRPr="009170A1" w14:paraId="5D4A1C52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14278E46" w14:textId="77777777" w:rsidR="00CD6398" w:rsidRPr="009170A1" w:rsidRDefault="00CD6398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تمكين الطالب من تطبيق الأسس العلمية المحاسبية لتمكينه من تقييم الوضع المالي للشركة وإظهار الحسابات         بشكل علمي ومنطقي لخدمة المستويات الإدارية في كافة القطاعات.</w:t>
            </w:r>
          </w:p>
        </w:tc>
        <w:tc>
          <w:tcPr>
            <w:tcW w:w="709" w:type="dxa"/>
            <w:vAlign w:val="center"/>
          </w:tcPr>
          <w:p w14:paraId="4C89CB53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CD6398" w:rsidRPr="009170A1" w14:paraId="0C11DA19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7F2D6893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CD6398" w:rsidRPr="009170A1" w14:paraId="197AA7E8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23E8ACF4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تأهيل الطالب للإعداد التقارير المالية المختلفة من واقع السجلات المحاسبية وتحليل عناصر المركز المالي باستخدام الأسس العلمية .</w:t>
            </w:r>
          </w:p>
        </w:tc>
        <w:tc>
          <w:tcPr>
            <w:tcW w:w="709" w:type="dxa"/>
            <w:vAlign w:val="center"/>
          </w:tcPr>
          <w:p w14:paraId="303FC523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CD6398" w:rsidRPr="009170A1" w14:paraId="498496EA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1188411B" w14:textId="77777777" w:rsidR="00CD6398" w:rsidRPr="009170A1" w:rsidRDefault="00CD639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 التعليم والتعلم</w:t>
            </w:r>
          </w:p>
          <w:p w14:paraId="333669C6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الصيفي))</w:t>
            </w:r>
          </w:p>
        </w:tc>
      </w:tr>
      <w:tr w:rsidR="00CD6398" w:rsidRPr="009170A1" w14:paraId="7D8E73B6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7E9E5B82" w14:textId="77777777" w:rsidR="00CD6398" w:rsidRPr="009170A1" w:rsidRDefault="00CD639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1C297587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CD6398" w:rsidRPr="009170A1" w14:paraId="7FA17753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5CFA0BBF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 xml:space="preserve">ج-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CD6398" w:rsidRPr="009170A1" w14:paraId="2281E21E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706B9C4B" w14:textId="77777777" w:rsidR="00CD6398" w:rsidRPr="009170A1" w:rsidRDefault="00CD6398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والالتزا</w:t>
            </w:r>
            <w:r w:rsidRPr="009170A1">
              <w:rPr>
                <w:rFonts w:ascii="Simplified Arabic" w:hAnsi="Simplified Arabic" w:cs="Simplified Arabic" w:hint="eastAsia"/>
                <w:color w:val="auto"/>
                <w:sz w:val="28"/>
                <w:szCs w:val="28"/>
                <w:rtl/>
              </w:rPr>
              <w:t>م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بأخلاقيات المهنة</w:t>
            </w:r>
          </w:p>
        </w:tc>
        <w:tc>
          <w:tcPr>
            <w:tcW w:w="709" w:type="dxa"/>
            <w:vAlign w:val="center"/>
          </w:tcPr>
          <w:p w14:paraId="6B57CDDF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CD6398" w:rsidRPr="009170A1" w14:paraId="3C444D0A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6BCC6759" w14:textId="77777777" w:rsidR="00CD6398" w:rsidRPr="009170A1" w:rsidRDefault="00CD639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BA5A1FE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CD6398" w:rsidRPr="009170A1" w14:paraId="513BE09A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234C4237" w14:textId="77777777" w:rsidR="00CD6398" w:rsidRPr="009170A1" w:rsidRDefault="00CD639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3F94F9B1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CD6398" w:rsidRPr="009170A1" w14:paraId="6C1BC369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012463F8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CD6398" w:rsidRPr="009170A1" w14:paraId="4B9A3FF9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00247455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118F9029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CD6398" w:rsidRPr="009170A1" w14:paraId="222C75E8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77951BCF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2E58DD3F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1EB40BB7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C323B6D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E1EBD89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C59EAD6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0930B2D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420ABDE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46E3A6A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995"/>
        <w:gridCol w:w="3410"/>
        <w:gridCol w:w="1879"/>
        <w:gridCol w:w="1075"/>
        <w:gridCol w:w="946"/>
      </w:tblGrid>
      <w:tr w:rsidR="00CD6398" w:rsidRPr="009E6BE5" w14:paraId="3BC42780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73C3DB62" w14:textId="77777777" w:rsidR="00CD6398" w:rsidRPr="009E6BE5" w:rsidRDefault="00CD6398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CD6398" w:rsidRPr="00D94E42" w14:paraId="12A181F6" w14:textId="77777777" w:rsidTr="0019166C">
        <w:trPr>
          <w:jc w:val="center"/>
        </w:trPr>
        <w:tc>
          <w:tcPr>
            <w:tcW w:w="953" w:type="dxa"/>
            <w:shd w:val="clear" w:color="auto" w:fill="D9E2F3" w:themeFill="accent1" w:themeFillTint="33"/>
            <w:vAlign w:val="center"/>
          </w:tcPr>
          <w:p w14:paraId="6F2C3EBA" w14:textId="77777777" w:rsidR="00CD6398" w:rsidRPr="00D94E42" w:rsidRDefault="00CD639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0F6F4EA0" w14:textId="77777777" w:rsidR="00CD6398" w:rsidRPr="00D94E42" w:rsidRDefault="00CD639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995" w:type="dxa"/>
            <w:shd w:val="clear" w:color="auto" w:fill="D9E2F3" w:themeFill="accent1" w:themeFillTint="33"/>
            <w:vAlign w:val="center"/>
          </w:tcPr>
          <w:p w14:paraId="3C27F6B7" w14:textId="77777777" w:rsidR="00CD6398" w:rsidRPr="00D94E42" w:rsidRDefault="00CD639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97" w:type="dxa"/>
            <w:shd w:val="clear" w:color="auto" w:fill="D9E2F3" w:themeFill="accent1" w:themeFillTint="33"/>
            <w:vAlign w:val="center"/>
          </w:tcPr>
          <w:p w14:paraId="643092DC" w14:textId="77777777" w:rsidR="00CD6398" w:rsidRPr="00D94E42" w:rsidRDefault="00CD639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2" w:type="dxa"/>
            <w:shd w:val="clear" w:color="auto" w:fill="D9E2F3" w:themeFill="accent1" w:themeFillTint="33"/>
            <w:vAlign w:val="center"/>
          </w:tcPr>
          <w:p w14:paraId="367EED98" w14:textId="77777777" w:rsidR="00CD6398" w:rsidRPr="00D94E42" w:rsidRDefault="00CD639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0" w:type="dxa"/>
            <w:shd w:val="clear" w:color="auto" w:fill="D9E2F3" w:themeFill="accent1" w:themeFillTint="33"/>
            <w:vAlign w:val="center"/>
          </w:tcPr>
          <w:p w14:paraId="3E6DBABC" w14:textId="77777777" w:rsidR="00CD6398" w:rsidRPr="00D94E42" w:rsidRDefault="00CD6398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CD6398" w:rsidRPr="00D94E42" w14:paraId="2184840A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9036EAA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3B967B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2ACCD04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مقدمة عن المحاسبة ، طبيعتها ، واهدافها،مخرجات النظام المحاسبي ،مستخدمو المعلومات المحاسبية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0E5E930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D3C2519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76825F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</w:t>
            </w:r>
          </w:p>
        </w:tc>
      </w:tr>
      <w:tr w:rsidR="00CD6398" w:rsidRPr="00D94E42" w14:paraId="5E543984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3CA464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1F6F90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6ABD008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الكشوفات المالية ، كيفية اعدادها ،مراجعة الحسابات الختامية،حساب المتاجرة،حساب الارباح والخسائر ،الميزانية العمومية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6FC9F33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1854DD8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208137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6AE068D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</w:t>
            </w:r>
          </w:p>
          <w:p w14:paraId="3E22F66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</w:tr>
      <w:tr w:rsidR="00CD6398" w:rsidRPr="00D94E42" w14:paraId="3E10DA4B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02F643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524044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21C49BB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الكشوفات المالية في المنشات الصناعية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0E9599D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1C3C6E7B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5672B3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  <w:p w14:paraId="71F0CDB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CD6398" w:rsidRPr="00D94E42" w14:paraId="17351B37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27934FF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97016C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3C263B17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كشف التشغيل وتحديد كلفة الانتاج(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Manufacturing Statement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) 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21B5ABB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5188399B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216D1C3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  <w:p w14:paraId="707A199A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CD6398" w:rsidRPr="00D94E42" w14:paraId="4F41B59C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B61C09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2026D9E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0D82DD86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كشف الدخل (قائمة الدخل)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Income Statement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7079064A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6DF32FF4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583933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  <w:p w14:paraId="43B343E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CD6398" w:rsidRPr="00D94E42" w14:paraId="09C1E34A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26E10BB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228A865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3750161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كشف التشغيل وكشف الدخل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166D28F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4C91159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0AB751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6</w:t>
            </w:r>
          </w:p>
          <w:p w14:paraId="2CB7298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</w:tr>
      <w:tr w:rsidR="00CD6398" w:rsidRPr="00D94E42" w14:paraId="19C96847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E3931E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233D12B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790494A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اعداد كشف توزيع الارباح والخسائر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FC6D8A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4A7160F2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AA0F03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7</w:t>
            </w:r>
          </w:p>
          <w:p w14:paraId="0B2B5E3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CD6398" w:rsidRPr="00D94E42" w14:paraId="0CBE88A1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EB2238A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730A445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6BED9ED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15F29BA9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قائمة المركز المالي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Statement Of Financial Position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174A4CE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18742D35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BF6F91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8</w:t>
            </w:r>
          </w:p>
        </w:tc>
      </w:tr>
      <w:tr w:rsidR="00CD6398" w:rsidRPr="00D94E42" w14:paraId="3D624F28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048C2E7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10DFDBAF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6FB887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2AAFFAEE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كشف التدقيق النقدي </w:t>
            </w:r>
            <w:proofErr w:type="spellStart"/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Cach</w:t>
            </w:r>
            <w:proofErr w:type="spellEnd"/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 Flow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C3A35E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2033D184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EF9779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9</w:t>
            </w:r>
          </w:p>
          <w:p w14:paraId="436CBB8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CD6398" w:rsidRPr="00D94E42" w14:paraId="667E21FD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F837EB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2A0C309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1C673605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الكشوفات المالية في المنشات التجارية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E901A2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9476CA9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04204ED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10</w:t>
            </w:r>
          </w:p>
        </w:tc>
      </w:tr>
      <w:tr w:rsidR="00CD6398" w:rsidRPr="00D94E42" w14:paraId="39579A53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0FEADF79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408BE26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51793ACC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ورقة العمل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Work Sheet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والتسويقات القيدية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2D1727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2821D8BD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5848E65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11</w:t>
            </w:r>
          </w:p>
        </w:tc>
      </w:tr>
      <w:tr w:rsidR="00CD6398" w:rsidRPr="00D94E42" w14:paraId="255641F0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0C82FA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4AD80649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5C75ED6B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المدينون وتكوين مخصص الديون المشكوك في تحصيلها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32205FA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B4C1512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0D137CA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12</w:t>
            </w:r>
          </w:p>
        </w:tc>
      </w:tr>
      <w:tr w:rsidR="00CD6398" w:rsidRPr="00D94E42" w14:paraId="1B20AC7C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92C49E8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31C528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6097BC12" w14:textId="77777777" w:rsidR="00CD6398" w:rsidRPr="00C70613" w:rsidRDefault="00CD6398" w:rsidP="0019166C">
            <w:pPr>
              <w:bidi/>
              <w:jc w:val="lowKashida"/>
              <w:rPr>
                <w:rFonts w:cs="Simplified Arabic"/>
                <w:color w:val="auto"/>
                <w:sz w:val="28"/>
                <w:szCs w:val="28"/>
                <w:rtl/>
              </w:rPr>
            </w:pPr>
            <w:r w:rsidRPr="00C70613">
              <w:rPr>
                <w:rFonts w:cs="Simplified Arabic" w:hint="cs"/>
                <w:color w:val="auto"/>
                <w:sz w:val="28"/>
                <w:szCs w:val="28"/>
                <w:rtl/>
              </w:rPr>
              <w:t>النقدية ومطابقة كشف البنك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816D80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5F69738E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B82FC9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13</w:t>
            </w:r>
          </w:p>
        </w:tc>
      </w:tr>
      <w:tr w:rsidR="00CD6398" w:rsidRPr="00D94E42" w14:paraId="151220C0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4F85C81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A5B1425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7320A2D5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المصروفات الايرادية والراسمالية والمؤجلة واهمية التفرقة بين المصاريف واثار الخلط بينها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4613CBF3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00840BD0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4C5D89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14</w:t>
            </w:r>
          </w:p>
        </w:tc>
      </w:tr>
      <w:tr w:rsidR="00CD6398" w:rsidRPr="00D94E42" w14:paraId="49837962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37F1E2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6EB54F3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3CAC7A32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الموجودات الثابتة ،انواعها،طرق الحصول على الموجودات الثابتة الملموسة،الشراء النقدي،الشراء بالاجل،الانشاء او الصنع،الاهداء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FD8B73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7F8A345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89C916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15</w:t>
            </w:r>
          </w:p>
        </w:tc>
      </w:tr>
      <w:tr w:rsidR="00CD6398" w:rsidRPr="00D94E42" w14:paraId="4F2C3622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3D4715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80C7D5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3231DDBB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اندثار الموجودات الثابتة،اسبابه،اسس احتسابه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E142853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265BC661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9D642F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16</w:t>
            </w:r>
          </w:p>
          <w:p w14:paraId="1BD4D64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CD6398" w:rsidRPr="00D94E42" w14:paraId="024B5BF3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E258AD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14D62A8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00CE9230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طرق احتساب الاندثار ،وطرق تسجيل الاندثار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0FCAF609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84D6C64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D443BB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17</w:t>
            </w:r>
          </w:p>
          <w:p w14:paraId="4DB3B59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CD6398" w:rsidRPr="00D94E42" w14:paraId="272E244E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20131BD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81F1705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7BC2C91E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معالجة تغيير احتساب الاندثار،تغيير العمر الانتاجي،الموجودات الثابتة المندثرة والتي لاتزال قيد الاستعمال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7AAA8DD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C105A60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A681D0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18</w:t>
            </w:r>
          </w:p>
        </w:tc>
      </w:tr>
      <w:tr w:rsidR="00CD6398" w:rsidRPr="00D94E42" w14:paraId="7CC3B991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303395D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4608E46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5E2E0D57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بيع الموجودات الثابتة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27C2B3F9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37F2A7A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08D6E0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19</w:t>
            </w:r>
          </w:p>
        </w:tc>
      </w:tr>
      <w:tr w:rsidR="00CD6398" w:rsidRPr="00D94E42" w14:paraId="71CC5EE0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BB2EF93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A9DDD0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353439EB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استبدال الموجودات الثابتة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2F9EBBF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79D0901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E6F604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20</w:t>
            </w:r>
          </w:p>
        </w:tc>
      </w:tr>
      <w:tr w:rsidR="00CD6398" w:rsidRPr="00D94E42" w14:paraId="699026D8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4860993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CE34EF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77592E19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خسائر وارباح بيع واستبدال الموجودات الثابتة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34A632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47CAA290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3CB4E85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21</w:t>
            </w:r>
          </w:p>
        </w:tc>
      </w:tr>
      <w:tr w:rsidR="00CD6398" w:rsidRPr="00D94E42" w14:paraId="7B2B59C4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A2F2733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DFFBD98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371969E7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الاستثمارات انواعها، شروطها.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65009C28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6373912E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63958C1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22</w:t>
            </w:r>
          </w:p>
        </w:tc>
      </w:tr>
      <w:tr w:rsidR="00CD6398" w:rsidRPr="00D94E42" w14:paraId="2EAB3744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491F9C2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5CB5756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3866D5D4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الاسهم شراؤها ، ارباحها ، بيعها ، الاسهم المجانية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5C25E9D3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5882C41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41682F8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23</w:t>
            </w:r>
          </w:p>
        </w:tc>
      </w:tr>
      <w:tr w:rsidR="00CD6398" w:rsidRPr="00D94E42" w14:paraId="2F77F4E0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973F70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0D7D04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225D4739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السندات ،انواعها،شروطها،الشراء بالقيمة الاسمية،الشراء بين فترات الفوائد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6F82280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6F476C76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2218E0E2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24</w:t>
            </w:r>
          </w:p>
        </w:tc>
      </w:tr>
      <w:tr w:rsidR="00CD6398" w:rsidRPr="00D94E42" w14:paraId="2705632A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27FA06C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3DE1B14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165A5C6A" w14:textId="77777777" w:rsidR="00CD6398" w:rsidRPr="00C70613" w:rsidRDefault="00CD6398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شراء وبيع السندات باكثر من القيمة الاسمية،(الشراء بعلاوة)،اطفاء العلاوة ،ارباح وخسائر البيع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239818C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1CFACAE8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C46E67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25</w:t>
            </w:r>
          </w:p>
        </w:tc>
      </w:tr>
      <w:tr w:rsidR="00CD6398" w:rsidRPr="00D94E42" w14:paraId="1E780111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14BA119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41424ED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27D828D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شراء وبيع السندات باقل من القيمة الاسمية(الشراء بخصم)،اطفاء الخصم ،ارباح وخسائر البيع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2AA273B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53D8673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45BBD4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26</w:t>
            </w:r>
          </w:p>
        </w:tc>
      </w:tr>
      <w:tr w:rsidR="00CD6398" w:rsidRPr="00D94E42" w14:paraId="3FD0F58C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CCDA138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77AEDC73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0A4C126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حسابات الاقسام ، تعريفها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236ABF2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5134FF4F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9334AF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27</w:t>
            </w:r>
          </w:p>
        </w:tc>
      </w:tr>
      <w:tr w:rsidR="00CD6398" w:rsidRPr="00D94E42" w14:paraId="5D6A6942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4E68DEB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2833F62F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6C78204B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التحويلات بين الاقسام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577BD86D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452ABF1D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13F29C7F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28</w:t>
            </w:r>
          </w:p>
        </w:tc>
      </w:tr>
      <w:tr w:rsidR="00CD6398" w:rsidRPr="00D94E42" w14:paraId="407CFCAB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65500DC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60EE9B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5529CE2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توزيع المصاريف بين الاقسام،السجلات المحاسبية المطلوبة .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3FD592FE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7F74ED4A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3C039FA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29</w:t>
            </w:r>
          </w:p>
        </w:tc>
      </w:tr>
      <w:tr w:rsidR="00CD6398" w:rsidRPr="00D94E42" w14:paraId="6F17BC7F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15F60597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0" w:type="dxa"/>
            <w:shd w:val="clear" w:color="auto" w:fill="FFFFFF" w:themeFill="background1"/>
            <w:vAlign w:val="center"/>
          </w:tcPr>
          <w:p w14:paraId="1A4120B0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5" w:type="dxa"/>
            <w:shd w:val="clear" w:color="auto" w:fill="FFFFFF" w:themeFill="background1"/>
            <w:vAlign w:val="center"/>
          </w:tcPr>
          <w:p w14:paraId="4F8FC791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مراجعة عامة وتكملة المنهاج</w:t>
            </w:r>
          </w:p>
        </w:tc>
        <w:tc>
          <w:tcPr>
            <w:tcW w:w="2397" w:type="dxa"/>
            <w:shd w:val="clear" w:color="auto" w:fill="FFFFFF" w:themeFill="background1"/>
            <w:vAlign w:val="center"/>
          </w:tcPr>
          <w:p w14:paraId="59E7F864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2" w:type="dxa"/>
            <w:shd w:val="clear" w:color="auto" w:fill="FFFFFF" w:themeFill="background1"/>
          </w:tcPr>
          <w:p w14:paraId="3330F1B1" w14:textId="77777777" w:rsidR="00CD6398" w:rsidRPr="00C70613" w:rsidRDefault="00CD6398" w:rsidP="0019166C">
            <w:pPr>
              <w:jc w:val="center"/>
              <w:rPr>
                <w:color w:val="auto"/>
              </w:rPr>
            </w:pPr>
            <w:r w:rsidRPr="001F2F0F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77B4D336" w14:textId="77777777" w:rsidR="00CD6398" w:rsidRPr="00C70613" w:rsidRDefault="00CD639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30</w:t>
            </w:r>
          </w:p>
        </w:tc>
      </w:tr>
    </w:tbl>
    <w:p w14:paraId="7CA733F7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5819739" w14:textId="77777777" w:rsidR="00CD6398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7932F5D" w14:textId="77777777" w:rsidR="00CD6398" w:rsidRPr="002046FD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520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453"/>
        <w:gridCol w:w="3536"/>
        <w:gridCol w:w="531"/>
      </w:tblGrid>
      <w:tr w:rsidR="00CD6398" w:rsidRPr="009170A1" w14:paraId="6DB32D9C" w14:textId="77777777" w:rsidTr="0019166C">
        <w:trPr>
          <w:jc w:val="center"/>
        </w:trPr>
        <w:tc>
          <w:tcPr>
            <w:tcW w:w="10013" w:type="dxa"/>
            <w:gridSpan w:val="2"/>
            <w:shd w:val="clear" w:color="auto" w:fill="D9E2F3" w:themeFill="accent1" w:themeFillTint="33"/>
            <w:vAlign w:val="center"/>
          </w:tcPr>
          <w:p w14:paraId="748CCB76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507" w:type="dxa"/>
            <w:shd w:val="clear" w:color="auto" w:fill="D9E2F3" w:themeFill="accent1" w:themeFillTint="33"/>
            <w:vAlign w:val="center"/>
          </w:tcPr>
          <w:p w14:paraId="58667569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CD6398" w:rsidRPr="009170A1" w14:paraId="0D0787DF" w14:textId="77777777" w:rsidTr="0019166C">
        <w:trPr>
          <w:jc w:val="center"/>
        </w:trPr>
        <w:tc>
          <w:tcPr>
            <w:tcW w:w="6469" w:type="dxa"/>
            <w:vAlign w:val="center"/>
          </w:tcPr>
          <w:p w14:paraId="0DE9AC2A" w14:textId="77777777" w:rsidR="00CD6398" w:rsidRPr="001D6873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</w:pPr>
            <w:r w:rsidRPr="001D6873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المحاسبة المتوسطة /كمال حسن ، جميل جواد، حاتم ابراهيم، دار الحكمة، 1991</w:t>
            </w:r>
            <w:r w:rsidRPr="001D6873"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</w:rPr>
              <w:t>.</w:t>
            </w:r>
          </w:p>
        </w:tc>
        <w:tc>
          <w:tcPr>
            <w:tcW w:w="3544" w:type="dxa"/>
            <w:vAlign w:val="center"/>
          </w:tcPr>
          <w:p w14:paraId="587E8FB6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07" w:type="dxa"/>
            <w:vAlign w:val="center"/>
          </w:tcPr>
          <w:p w14:paraId="0A5C2BC3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CD6398" w:rsidRPr="009170A1" w14:paraId="6ADC5EF4" w14:textId="77777777" w:rsidTr="0019166C">
        <w:trPr>
          <w:jc w:val="center"/>
        </w:trPr>
        <w:tc>
          <w:tcPr>
            <w:tcW w:w="6469" w:type="dxa"/>
            <w:vAlign w:val="center"/>
          </w:tcPr>
          <w:p w14:paraId="74F43A0B" w14:textId="77777777" w:rsidR="00CD6398" w:rsidRPr="008F7A0A" w:rsidRDefault="00CD6398" w:rsidP="00CD6398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F7A0A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كمال حسن جمعه /جميل جواد حميد/حاتم ابراهيم حسن /دار الحكمه للطباعة والنشر/1991</w:t>
            </w:r>
          </w:p>
          <w:p w14:paraId="5863B580" w14:textId="77777777" w:rsidR="00CD6398" w:rsidRPr="008F7A0A" w:rsidRDefault="00CD6398" w:rsidP="00CD6398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F7A0A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الموازنات التخطيطيه كأداة للرقابه على حسابات الشركات العامه /عبد العزيز محمود الامام /الرياض /1983.</w:t>
            </w:r>
          </w:p>
          <w:p w14:paraId="0436D2EF" w14:textId="77777777" w:rsidR="00CD6398" w:rsidRPr="008F7A0A" w:rsidRDefault="00CD6398" w:rsidP="00CD6398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8F7A0A">
              <w:rPr>
                <w:rFonts w:cs="Simplified Arabic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المبادىء المحاسبيه بين النظريه والتطبيق /عبد الفتاح الصحن /مؤسسة شباب الجامعه/ الاسكندريه.</w:t>
            </w:r>
          </w:p>
          <w:p w14:paraId="4646CFB9" w14:textId="77777777" w:rsidR="00CD6398" w:rsidRPr="001D6873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259BCF30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07" w:type="dxa"/>
            <w:vAlign w:val="center"/>
          </w:tcPr>
          <w:p w14:paraId="65683C40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CD6398" w:rsidRPr="009170A1" w14:paraId="619F860A" w14:textId="77777777" w:rsidTr="0019166C">
        <w:trPr>
          <w:jc w:val="center"/>
        </w:trPr>
        <w:tc>
          <w:tcPr>
            <w:tcW w:w="6469" w:type="dxa"/>
            <w:vAlign w:val="center"/>
          </w:tcPr>
          <w:p w14:paraId="2333B293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544" w:type="dxa"/>
            <w:vAlign w:val="center"/>
          </w:tcPr>
          <w:p w14:paraId="115675AA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507" w:type="dxa"/>
            <w:vAlign w:val="center"/>
          </w:tcPr>
          <w:p w14:paraId="3CECC071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3FE6296A" w14:textId="77777777" w:rsidR="00CD6398" w:rsidRPr="002046FD" w:rsidRDefault="00CD6398" w:rsidP="00CD6398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CD6398" w:rsidRPr="009170A1" w14:paraId="7646D4F7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7BCFA40A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67D52059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CD6398" w:rsidRPr="009170A1" w14:paraId="4CFDDFAB" w14:textId="77777777" w:rsidTr="0019166C">
        <w:trPr>
          <w:jc w:val="center"/>
        </w:trPr>
        <w:tc>
          <w:tcPr>
            <w:tcW w:w="9780" w:type="dxa"/>
          </w:tcPr>
          <w:p w14:paraId="1664F162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398CF493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6F8F792D" w14:textId="77777777" w:rsidR="00CD6398" w:rsidRPr="009170A1" w:rsidRDefault="00CD639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6E28A204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*</w:t>
            </w:r>
          </w:p>
          <w:p w14:paraId="27DC583C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4B31B51C" w14:textId="77777777" w:rsidR="00CD6398" w:rsidRPr="009170A1" w:rsidRDefault="00CD639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*</w:t>
            </w:r>
          </w:p>
        </w:tc>
      </w:tr>
    </w:tbl>
    <w:p w14:paraId="185FB0E2" w14:textId="77777777" w:rsidR="007C71F9" w:rsidRDefault="007C71F9" w:rsidP="00CD6398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275C3"/>
    <w:multiLevelType w:val="hybridMultilevel"/>
    <w:tmpl w:val="EC8E871C"/>
    <w:lvl w:ilvl="0" w:tplc="D36EB596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67"/>
    <w:rsid w:val="00110067"/>
    <w:rsid w:val="007C71F9"/>
    <w:rsid w:val="00C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2A4B-FB51-4A77-A599-58470A8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98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6398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2024-03-13T08:02:00Z</dcterms:created>
  <dcterms:modified xsi:type="dcterms:W3CDTF">2024-03-13T08:02:00Z</dcterms:modified>
</cp:coreProperties>
</file>